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B" w:rsidRDefault="00D16DE3" w:rsidP="004546F0">
      <w:pPr>
        <w:tabs>
          <w:tab w:val="left" w:pos="2410"/>
        </w:tabs>
        <w:spacing w:after="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left:0;text-align:left;margin-left:-5.1pt;margin-top:577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 w:rsidR="00EB470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Rita Michaud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 w:rsidR="00EB470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Frances Lemay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Roland 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="00EB470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Jonelle Hupé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10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D7495E">
        <w:rPr>
          <w:rFonts w:ascii="Century Gothic" w:hAnsi="Century Gothic"/>
          <w:b/>
          <w:lang w:val="fr-CA"/>
        </w:rPr>
        <w:t>du C</w:t>
      </w:r>
      <w:r w:rsidR="00BE2FE3" w:rsidRPr="006716DF">
        <w:rPr>
          <w:rFonts w:ascii="Century Gothic" w:hAnsi="Century Gothic"/>
          <w:b/>
          <w:lang w:val="fr-CA"/>
        </w:rPr>
        <w:t>onseil Elzéar-Goulet</w:t>
      </w:r>
    </w:p>
    <w:p w:rsidR="00BE2FE3" w:rsidRPr="006D316B" w:rsidRDefault="004546F0" w:rsidP="004546F0">
      <w:pPr>
        <w:tabs>
          <w:tab w:val="left" w:pos="2552"/>
        </w:tabs>
        <w:spacing w:before="120"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19 mars 2014  ◊  19 h 30  ◊  Salle 1614 - édifice Marcel Desautels, USB</w:t>
      </w:r>
    </w:p>
    <w:p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:rsidTr="00500EBD">
        <w:tc>
          <w:tcPr>
            <w:tcW w:w="2694" w:type="dxa"/>
          </w:tcPr>
          <w:p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:rsidTr="00500EBD">
        <w:tc>
          <w:tcPr>
            <w:tcW w:w="2694" w:type="dxa"/>
          </w:tcPr>
          <w:p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Rita Michaud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:rsidR="006D316B" w:rsidRDefault="006D316B" w:rsidP="00BE1B4F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Trésori</w:t>
            </w:r>
            <w:r w:rsidR="00BE1B4F">
              <w:rPr>
                <w:lang w:val="fr-FR"/>
              </w:rPr>
              <w:t>er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Roland 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Frances Lemay</w:t>
            </w:r>
            <w:r w:rsidR="00D331A4">
              <w:rPr>
                <w:lang w:val="fr-FR"/>
              </w:rPr>
              <w:t xml:space="preserve"> Sibelleau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EB470F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Jonelle Hupé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</w:p>
        </w:tc>
      </w:tr>
      <w:tr w:rsidR="006D316B" w:rsidTr="00500EBD">
        <w:tc>
          <w:tcPr>
            <w:tcW w:w="2694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</w:p>
        </w:tc>
        <w:tc>
          <w:tcPr>
            <w:tcW w:w="4358" w:type="dxa"/>
          </w:tcPr>
          <w:p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  <w:r w:rsidR="00ED76A7">
              <w:rPr>
                <w:lang w:val="fr-FR"/>
              </w:rPr>
              <w:t xml:space="preserve">  (absent)</w:t>
            </w:r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577652" w:rsidTr="00500EBD">
        <w:tc>
          <w:tcPr>
            <w:tcW w:w="2694" w:type="dxa"/>
          </w:tcPr>
          <w:p w:rsidR="00577652" w:rsidRPr="000F0E5C" w:rsidRDefault="00577652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:rsidR="00577652" w:rsidRDefault="00577652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Evelyn Carrier</w:t>
            </w:r>
          </w:p>
        </w:tc>
        <w:tc>
          <w:tcPr>
            <w:tcW w:w="4394" w:type="dxa"/>
          </w:tcPr>
          <w:p w:rsidR="00577652" w:rsidRDefault="00577652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Janine Lemay-Troche</w:t>
            </w:r>
          </w:p>
        </w:tc>
      </w:tr>
      <w:tr w:rsidR="00577652" w:rsidTr="00500EBD">
        <w:tc>
          <w:tcPr>
            <w:tcW w:w="2694" w:type="dxa"/>
          </w:tcPr>
          <w:p w:rsidR="00577652" w:rsidRDefault="00577652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577652" w:rsidRDefault="00577652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Paul Desrosiers</w:t>
            </w:r>
          </w:p>
        </w:tc>
        <w:tc>
          <w:tcPr>
            <w:tcW w:w="4394" w:type="dxa"/>
          </w:tcPr>
          <w:p w:rsidR="00577652" w:rsidRDefault="00577652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Pauline Turenne</w:t>
            </w:r>
          </w:p>
        </w:tc>
      </w:tr>
      <w:tr w:rsidR="00577652" w:rsidTr="00500EBD">
        <w:tc>
          <w:tcPr>
            <w:tcW w:w="2694" w:type="dxa"/>
          </w:tcPr>
          <w:p w:rsidR="00577652" w:rsidRDefault="00577652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:rsidR="00577652" w:rsidRDefault="00577652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Henri Lambert</w:t>
            </w:r>
          </w:p>
        </w:tc>
        <w:tc>
          <w:tcPr>
            <w:tcW w:w="4394" w:type="dxa"/>
          </w:tcPr>
          <w:p w:rsidR="00577652" w:rsidRDefault="003C6A0D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Ashley Lemoine</w:t>
            </w:r>
            <w:bookmarkStart w:id="0" w:name="_GoBack"/>
            <w:bookmarkEnd w:id="0"/>
          </w:p>
        </w:tc>
      </w:tr>
    </w:tbl>
    <w:p w:rsidR="006D316B" w:rsidRDefault="006D316B" w:rsidP="006D316B">
      <w:pPr>
        <w:spacing w:line="240" w:lineRule="auto"/>
        <w:contextualSpacing/>
        <w:rPr>
          <w:lang w:val="fr-FR"/>
        </w:rPr>
      </w:pPr>
    </w:p>
    <w:p w:rsidR="006D316B" w:rsidRDefault="006D316B" w:rsidP="006D316B">
      <w:pPr>
        <w:spacing w:line="240" w:lineRule="auto"/>
        <w:contextualSpacing/>
        <w:rPr>
          <w:lang w:val="fr-FR"/>
        </w:rPr>
      </w:pPr>
    </w:p>
    <w:p w:rsidR="00500EBD" w:rsidRDefault="00500EBD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7193"/>
      </w:tblGrid>
      <w:tr w:rsidR="00A44AF4" w:rsidRPr="00F5423D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#14-03-19-01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Ouverture de la réunion</w:t>
            </w:r>
            <w:r>
              <w:rPr>
                <w:lang w:val="fr-FR"/>
              </w:rPr>
              <w:t xml:space="preserve"> – Marc Boyer</w:t>
            </w:r>
          </w:p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Prière d’ouverture</w:t>
            </w:r>
            <w:r>
              <w:rPr>
                <w:lang w:val="fr-FR"/>
              </w:rPr>
              <w:t xml:space="preserve"> – France Lemay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B03A0D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#14-03-19-02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Adoption de l’ordre du jour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Roland Lavallée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Pauline Turenne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B03A0D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#14-03-19-03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Adoption et suivi du procès-verbal du 13 novembre 2013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Ashley Lemoine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7020F7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#14-03-19-03.1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3.1)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Auberge du Violon 2014 – mise à jour</w:t>
            </w:r>
          </w:p>
          <w:p w:rsidR="00A44AF4" w:rsidRDefault="00A44AF4" w:rsidP="00F57952">
            <w:pPr>
              <w:spacing w:after="0" w:line="240" w:lineRule="auto"/>
              <w:rPr>
                <w:color w:val="FFFF00"/>
                <w:lang w:val="fr-FR"/>
              </w:rPr>
            </w:pPr>
            <w:r>
              <w:rPr>
                <w:lang w:val="fr-FR"/>
              </w:rPr>
              <w:t xml:space="preserve">Marc Boyer remercie tous les bénévoles du </w:t>
            </w:r>
            <w:r w:rsidR="001D314F">
              <w:rPr>
                <w:lang w:val="fr-FR"/>
              </w:rPr>
              <w:t>Conseil</w:t>
            </w:r>
            <w:r>
              <w:rPr>
                <w:lang w:val="fr-FR"/>
              </w:rPr>
              <w:t xml:space="preserve"> pour leur engagement.  Les comptes sont réglés avec le Festival du Voyageur.</w:t>
            </w:r>
            <w:r w:rsidR="00810778">
              <w:rPr>
                <w:lang w:val="fr-FR"/>
              </w:rPr>
              <w:t xml:space="preserve">  On attend de </w:t>
            </w:r>
            <w:r w:rsidR="006E4B0C">
              <w:rPr>
                <w:lang w:val="fr-FR"/>
              </w:rPr>
              <w:t>régler</w:t>
            </w:r>
            <w:r w:rsidR="00810778">
              <w:rPr>
                <w:lang w:val="fr-FR"/>
              </w:rPr>
              <w:t xml:space="preserve"> les comptes avec les autres </w:t>
            </w:r>
            <w:r w:rsidR="006E4B0C">
              <w:rPr>
                <w:lang w:val="fr-FR"/>
              </w:rPr>
              <w:t>partenaires</w:t>
            </w:r>
            <w:r w:rsidR="00810778">
              <w:rPr>
                <w:lang w:val="fr-FR"/>
              </w:rPr>
              <w:t xml:space="preserve"> de l’Auberge.  On remercie Marc pour s</w:t>
            </w:r>
            <w:r w:rsidR="006E4B0C">
              <w:rPr>
                <w:lang w:val="fr-FR"/>
              </w:rPr>
              <w:t>on travail</w:t>
            </w:r>
            <w:r>
              <w:rPr>
                <w:lang w:val="fr-FR"/>
              </w:rPr>
              <w:t xml:space="preserve"> et </w:t>
            </w:r>
            <w:r w:rsidR="00810778">
              <w:rPr>
                <w:lang w:val="fr-FR"/>
              </w:rPr>
              <w:t xml:space="preserve">son </w:t>
            </w:r>
            <w:r>
              <w:rPr>
                <w:lang w:val="fr-FR"/>
              </w:rPr>
              <w:t>leadership.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D7495E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#14-03-19-04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Rapport financier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Roger Hupé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Appuyé par Ashley Lemoine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A44AF4" w:rsidRPr="00B03A0D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#14-03-19-05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Activités de nos partenaires</w:t>
            </w:r>
          </w:p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A44AF4" w:rsidRPr="003E589E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#14-03-19-05.1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5.1)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Union nationale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Paul Desrosiers mentionne que le pique-nique métis de l’Union nationale aura lieu le 18 juin 2014. L’Union nationale a proposé à la ville de construire un abri permanent sur les lieux (éventuellement). Paul nous explique que la cloche de Batoche a circulé dans les foyers des aînés</w:t>
            </w:r>
            <w:r w:rsidR="00037D3B">
              <w:rPr>
                <w:lang w:val="fr-FR"/>
              </w:rPr>
              <w:t xml:space="preserve"> et a été bien reçue</w:t>
            </w:r>
            <w:r>
              <w:rPr>
                <w:lang w:val="fr-FR"/>
              </w:rPr>
              <w:t xml:space="preserve">. 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370920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#14-03-19-05.2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5.2)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MMF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Nous avons reçu un rapport d’André Carrier</w:t>
            </w:r>
            <w:r w:rsidR="00D307DA">
              <w:rPr>
                <w:lang w:val="fr-FR"/>
              </w:rPr>
              <w:t xml:space="preserve"> sur les points suivants</w:t>
            </w:r>
            <w:r>
              <w:rPr>
                <w:lang w:val="fr-FR"/>
              </w:rPr>
              <w:t xml:space="preserve">. </w:t>
            </w:r>
          </w:p>
          <w:p w:rsidR="00A44AF4" w:rsidRDefault="00A44AF4" w:rsidP="00F57952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La Commission de vérité et réconciliation à Edmonton</w:t>
            </w:r>
          </w:p>
          <w:p w:rsidR="00A44AF4" w:rsidRDefault="00A44AF4" w:rsidP="00F57952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Voyage au Guatemala, octobre 2014</w:t>
            </w:r>
          </w:p>
          <w:p w:rsidR="00A44AF4" w:rsidRDefault="00A44AF4" w:rsidP="00F57952">
            <w:pPr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Maison-Riel</w:t>
            </w:r>
          </w:p>
          <w:p w:rsidR="00A44AF4" w:rsidRDefault="00A44AF4" w:rsidP="00F57952">
            <w:pPr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Pemmican Publications</w:t>
            </w:r>
          </w:p>
          <w:p w:rsidR="00A44AF4" w:rsidRDefault="00A44AF4" w:rsidP="00F57952">
            <w:pPr>
              <w:numPr>
                <w:ilvl w:val="0"/>
                <w:numId w:val="7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Pharmacie M</w:t>
            </w:r>
            <w:r w:rsidR="004E7685">
              <w:rPr>
                <w:lang w:val="fr-FR"/>
              </w:rPr>
              <w:t>EDO</w:t>
            </w:r>
          </w:p>
          <w:p w:rsidR="00A44AF4" w:rsidRDefault="00A44AF4" w:rsidP="00A44AF4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#14-03-19-06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Affaires nouvelles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646E00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#14-03-19-06.1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6.1)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Rapport : AGA de Winnipeg Reg</w:t>
            </w:r>
            <w:r w:rsidR="007379A7">
              <w:rPr>
                <w:b/>
                <w:lang w:val="fr-FR"/>
              </w:rPr>
              <w:t>ion du 1 mars 2014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Lucien Croteau, Marc Boyer et Roger Hupé ont participé à l’AGA de Winnipeg Region.</w:t>
            </w:r>
            <w:r w:rsidR="004E7685">
              <w:rPr>
                <w:lang w:val="fr-FR"/>
              </w:rPr>
              <w:t xml:space="preserve">  Rien de nouveau à signaler, excepté que les finances de la région sont toujours en mauvais état.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#14-03-19-06.2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6.2)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b/>
                <w:lang w:val="fr-FR"/>
              </w:rPr>
              <w:t>Mise à jour : Partenariat avec RéconciliACTION de l’USB</w:t>
            </w:r>
          </w:p>
          <w:p w:rsidR="00A44AF4" w:rsidRDefault="004E7685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On essaie d’</w:t>
            </w:r>
            <w:r w:rsidR="00A44AF4">
              <w:rPr>
                <w:lang w:val="fr-FR"/>
              </w:rPr>
              <w:t>encourage</w:t>
            </w:r>
            <w:r>
              <w:rPr>
                <w:lang w:val="fr-FR"/>
              </w:rPr>
              <w:t>r</w:t>
            </w:r>
            <w:r w:rsidR="00A44AF4">
              <w:rPr>
                <w:lang w:val="fr-FR"/>
              </w:rPr>
              <w:t xml:space="preserve"> les jeunes de RéconciliACTION à s’engager aux activités du </w:t>
            </w:r>
            <w:r w:rsidR="001D314F">
              <w:rPr>
                <w:lang w:val="fr-FR"/>
              </w:rPr>
              <w:t>Conseil</w:t>
            </w:r>
            <w:r w:rsidR="00A44AF4">
              <w:rPr>
                <w:lang w:val="fr-FR"/>
              </w:rPr>
              <w:t xml:space="preserve"> en tant que </w:t>
            </w:r>
            <w:r>
              <w:rPr>
                <w:lang w:val="fr-FR"/>
              </w:rPr>
              <w:t xml:space="preserve">partenaires. </w:t>
            </w:r>
            <w:r w:rsidR="00A44AF4">
              <w:rPr>
                <w:lang w:val="fr-FR"/>
              </w:rPr>
              <w:t>Par exemple ce gro</w:t>
            </w:r>
            <w:r w:rsidR="00D307DA">
              <w:rPr>
                <w:lang w:val="fr-FR"/>
              </w:rPr>
              <w:t>upe a participé à l’Auberge du V</w:t>
            </w:r>
            <w:r w:rsidR="00A44AF4">
              <w:rPr>
                <w:lang w:val="fr-FR"/>
              </w:rPr>
              <w:t xml:space="preserve">iolon en février 2014. Il serait bien </w:t>
            </w:r>
            <w:r>
              <w:rPr>
                <w:lang w:val="fr-FR"/>
              </w:rPr>
              <w:t>de continuer nos efforts dans cette direction.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#14-03-19-06.3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6.3)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Achat de prix de présences</w:t>
            </w:r>
          </w:p>
          <w:p w:rsidR="00A44AF4" w:rsidRDefault="007379A7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Les membres ont décidé à l’AGA de faire des achats pour les prix de présence.  On soutiendra</w:t>
            </w:r>
            <w:r w:rsidR="00A44AF4">
              <w:rPr>
                <w:lang w:val="fr-FR"/>
              </w:rPr>
              <w:t xml:space="preserve"> Pemmican Publication en achetant leurs livres français.  On </w:t>
            </w:r>
            <w:r w:rsidR="00C97497">
              <w:rPr>
                <w:lang w:val="fr-FR"/>
              </w:rPr>
              <w:t>achètera</w:t>
            </w:r>
            <w:r>
              <w:rPr>
                <w:lang w:val="fr-FR"/>
              </w:rPr>
              <w:t xml:space="preserve"> aussi </w:t>
            </w:r>
            <w:r w:rsidR="00A44AF4">
              <w:rPr>
                <w:lang w:val="fr-FR"/>
              </w:rPr>
              <w:t xml:space="preserve">des livres de l’Union nationale pour les soutenir. On demandera à André Carrier et à Lucien Croteau de faire les achats. Ashley Lemoine accepte de les entreposer chez elle et de les amener </w:t>
            </w:r>
            <w:r>
              <w:rPr>
                <w:lang w:val="fr-FR"/>
              </w:rPr>
              <w:t>à</w:t>
            </w:r>
            <w:r w:rsidR="00A44AF4">
              <w:rPr>
                <w:lang w:val="fr-FR"/>
              </w:rPr>
              <w:t xml:space="preserve"> chaque réunion.</w:t>
            </w:r>
          </w:p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#14-03-19-06.4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6.4)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Affiches à l’USB pour promouvoir le Conseil</w:t>
            </w:r>
          </w:p>
          <w:p w:rsidR="00A44AF4" w:rsidRDefault="00A44AF4" w:rsidP="00F57952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 xml:space="preserve">Un des </w:t>
            </w:r>
            <w:r w:rsidR="007379A7">
              <w:rPr>
                <w:lang w:val="fr-FR"/>
              </w:rPr>
              <w:t>projets</w:t>
            </w:r>
            <w:r>
              <w:rPr>
                <w:lang w:val="fr-FR"/>
              </w:rPr>
              <w:t xml:space="preserve"> à long terme est de promouvoir le Conseil à l’USB en utilisant des affiches.  Marc Boyer fera un suivi avec le groupe RéconciliACTION de </w:t>
            </w:r>
            <w:r>
              <w:rPr>
                <w:lang w:val="fr-FR"/>
              </w:rPr>
              <w:lastRenderedPageBreak/>
              <w:t>l’USB.</w:t>
            </w:r>
          </w:p>
          <w:p w:rsidR="00A44AF4" w:rsidRDefault="00A44AF4" w:rsidP="00F57952">
            <w:pPr>
              <w:pStyle w:val="Header"/>
              <w:tabs>
                <w:tab w:val="clear" w:pos="4680"/>
                <w:tab w:val="clear" w:pos="9360"/>
              </w:tabs>
              <w:rPr>
                <w:b/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#14-03-19-06.5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6.5)</w:t>
            </w:r>
          </w:p>
        </w:tc>
        <w:tc>
          <w:tcPr>
            <w:tcW w:w="7193" w:type="dxa"/>
          </w:tcPr>
          <w:p w:rsidR="00A44AF4" w:rsidRDefault="00A44AF4" w:rsidP="00F57952">
            <w:pPr>
              <w:pStyle w:val="Heading4"/>
            </w:pPr>
            <w:r>
              <w:t>Prélèvement  de fonds : Manitoba Loteries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André Carrier fera un suivi avec ses contacts.  Ce sera à discuter.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#14-03-19-06.6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6.6)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Renouveau du tombeau d’Elzéar-Goulet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France Lemay demandera la permission à la paroisse de la Cathédrale et à la famille de repeindre les lettres sur la tombe d’Elzéar-Goulet.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#14-03-19-06.7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6.7)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Représentante jeunesse – Jonelle Hupé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Jonelle Hupé accepte d’être la représentante jeunesse du Conseil. </w:t>
            </w:r>
            <w:r w:rsidR="000A0044">
              <w:rPr>
                <w:lang w:val="fr-FR"/>
              </w:rPr>
              <w:t xml:space="preserve"> Il n’y pas d’autres nominations alors ça</w:t>
            </w:r>
            <w:r>
              <w:rPr>
                <w:lang w:val="fr-FR"/>
              </w:rPr>
              <w:t xml:space="preserve"> passe au vote.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Roland Lavallée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Appuyé par Paul Desrosiers</w:t>
            </w:r>
          </w:p>
          <w:p w:rsidR="00A44AF4" w:rsidRDefault="00A44AF4" w:rsidP="00F57952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  <w:r>
              <w:rPr>
                <w:lang w:val="fr-FR"/>
              </w:rPr>
              <w:t>Adopté</w:t>
            </w:r>
          </w:p>
          <w:p w:rsidR="00A44AF4" w:rsidRDefault="00A44AF4" w:rsidP="00F57952">
            <w:pPr>
              <w:pStyle w:val="Header"/>
              <w:tabs>
                <w:tab w:val="clear" w:pos="4680"/>
                <w:tab w:val="clear" w:pos="9360"/>
              </w:tabs>
              <w:rPr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#14-03-19-07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50/50</w:t>
            </w:r>
          </w:p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#14-03-19-08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8)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Tirage de prix de présence</w:t>
            </w:r>
          </w:p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A44AF4" w:rsidRPr="00832EA9" w:rsidTr="00500EBD">
        <w:tc>
          <w:tcPr>
            <w:tcW w:w="212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#14-03-19-09</w:t>
            </w:r>
          </w:p>
        </w:tc>
        <w:tc>
          <w:tcPr>
            <w:tcW w:w="567" w:type="dxa"/>
          </w:tcPr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9)</w:t>
            </w:r>
          </w:p>
        </w:tc>
        <w:tc>
          <w:tcPr>
            <w:tcW w:w="7193" w:type="dxa"/>
          </w:tcPr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Ajournement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Proposé par Pauline Turenne</w:t>
            </w:r>
          </w:p>
          <w:p w:rsidR="00A44AF4" w:rsidRDefault="00A44AF4" w:rsidP="00F57952">
            <w:pPr>
              <w:spacing w:after="0" w:line="240" w:lineRule="auto"/>
              <w:rPr>
                <w:lang w:val="fr-FR"/>
              </w:rPr>
            </w:pPr>
          </w:p>
          <w:p w:rsidR="00A44AF4" w:rsidRDefault="00A44AF4" w:rsidP="00F5795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lang w:val="fr-FR"/>
              </w:rPr>
              <w:t xml:space="preserve">Prochaine réunion du Conseil le 21 mai 2014, Salon Sportex (1341) </w:t>
            </w:r>
          </w:p>
        </w:tc>
      </w:tr>
    </w:tbl>
    <w:p w:rsidR="00A44AF4" w:rsidRDefault="00A44AF4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Default="00B5110B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205740</wp:posOffset>
            </wp:positionV>
            <wp:extent cx="1504950" cy="566569"/>
            <wp:effectExtent l="0" t="0" r="0" b="0"/>
            <wp:wrapNone/>
            <wp:docPr id="2" name="Picture 2" descr="C:\Users\Public\Documents\ElzearGoulet\Signatures\RitaMichau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ElzearGoulet\Signatures\RitaMichaud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311619" w:rsidRDefault="00E83C7E" w:rsidP="00E83C7E">
      <w:pPr>
        <w:tabs>
          <w:tab w:val="left" w:pos="-1418"/>
          <w:tab w:val="left" w:pos="42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Procès-verbal</w:t>
      </w:r>
      <w:r w:rsidRPr="006C4997">
        <w:rPr>
          <w:rFonts w:ascii="Century Gothic" w:hAnsi="Century Gothic"/>
          <w:sz w:val="20"/>
          <w:szCs w:val="20"/>
          <w:lang w:val="fr-CA"/>
        </w:rPr>
        <w:t xml:space="preserve"> préparé et soumis par</w:t>
      </w:r>
      <w:r w:rsidR="007778A2">
        <w:rPr>
          <w:rFonts w:ascii="Century Gothic" w:hAnsi="Century Gothic"/>
          <w:sz w:val="20"/>
          <w:szCs w:val="20"/>
          <w:lang w:val="fr-CA"/>
        </w:rPr>
        <w:t xml:space="preserve"> Rita Michaud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>Secr</w:t>
      </w:r>
      <w:r w:rsidRPr="00311619">
        <w:rPr>
          <w:rFonts w:ascii="Century Gothic" w:hAnsi="Century Gothic"/>
          <w:sz w:val="20"/>
          <w:szCs w:val="20"/>
          <w:lang w:val="fr-CA"/>
        </w:rPr>
        <w:t>é</w:t>
      </w:r>
      <w:r>
        <w:rPr>
          <w:rFonts w:ascii="Century Gothic" w:hAnsi="Century Gothic"/>
          <w:sz w:val="20"/>
          <w:szCs w:val="20"/>
          <w:lang w:val="fr-CA"/>
        </w:rPr>
        <w:t>taire</w:t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B5110B" w:rsidRDefault="00B5110B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Signatures :</w:t>
      </w:r>
    </w:p>
    <w:p w:rsidR="00E83C7E" w:rsidRDefault="00E83C7E" w:rsidP="00E83C7E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p w:rsidR="00E83C7E" w:rsidRPr="00AF5C7A" w:rsidRDefault="00E83C7E" w:rsidP="00E83C7E">
      <w:pPr>
        <w:tabs>
          <w:tab w:val="left" w:pos="-3544"/>
          <w:tab w:val="right" w:pos="-3119"/>
          <w:tab w:val="right" w:pos="-2835"/>
          <w:tab w:val="left" w:pos="-1418"/>
          <w:tab w:val="left" w:pos="3686"/>
          <w:tab w:val="left" w:pos="5954"/>
          <w:tab w:val="left" w:pos="9779"/>
        </w:tabs>
        <w:spacing w:before="120" w:after="0"/>
        <w:ind w:right="-2"/>
        <w:rPr>
          <w:rFonts w:ascii="Century Gothic" w:hAnsi="Century Gothic"/>
          <w:sz w:val="20"/>
          <w:szCs w:val="20"/>
          <w:u w:val="single"/>
          <w:lang w:val="fr-CA"/>
        </w:rPr>
      </w:pP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76191FAA" wp14:editId="3CE0AD9A">
            <wp:simplePos x="0" y="0"/>
            <wp:positionH relativeFrom="column">
              <wp:posOffset>4009390</wp:posOffset>
            </wp:positionH>
            <wp:positionV relativeFrom="paragraph">
              <wp:posOffset>-248285</wp:posOffset>
            </wp:positionV>
            <wp:extent cx="1962150" cy="485775"/>
            <wp:effectExtent l="0" t="0" r="0" b="0"/>
            <wp:wrapNone/>
            <wp:docPr id="9" name="Picture 9" descr="C:\Documents and Settings\Marc\Desktop\LucienCro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c\Desktop\LucienCrotea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u w:val="single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270B58E" wp14:editId="08F1BC71">
            <wp:simplePos x="0" y="0"/>
            <wp:positionH relativeFrom="column">
              <wp:posOffset>227965</wp:posOffset>
            </wp:positionH>
            <wp:positionV relativeFrom="paragraph">
              <wp:posOffset>-191135</wp:posOffset>
            </wp:positionV>
            <wp:extent cx="1724025" cy="600075"/>
            <wp:effectExtent l="0" t="0" r="0" b="0"/>
            <wp:wrapNone/>
            <wp:docPr id="3" name="Picture 3" descr="C:\Documents and Settings\Marc\Desktop\MarcBo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c\Desktop\MarcBoy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AF5C7A">
        <w:rPr>
          <w:rFonts w:ascii="Century Gothic" w:hAnsi="Century Gothic"/>
          <w:sz w:val="20"/>
          <w:szCs w:val="20"/>
          <w:lang w:val="fr-CA"/>
        </w:rPr>
        <w:tab/>
      </w:r>
      <w:r w:rsidRPr="00AF5C7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E83C7E" w:rsidRPr="00311619" w:rsidRDefault="00E83C7E" w:rsidP="00E83C7E">
      <w:pPr>
        <w:tabs>
          <w:tab w:val="right" w:pos="-2694"/>
          <w:tab w:val="left" w:pos="-1418"/>
          <w:tab w:val="left" w:pos="284"/>
          <w:tab w:val="left" w:pos="5954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</w:t>
      </w:r>
      <w:r w:rsidRPr="00311619">
        <w:rPr>
          <w:rFonts w:ascii="Century Gothic" w:hAnsi="Century Gothic"/>
          <w:sz w:val="20"/>
          <w:szCs w:val="20"/>
          <w:lang w:val="fr-CA"/>
        </w:rPr>
        <w:t>rés</w:t>
      </w:r>
      <w:r>
        <w:rPr>
          <w:rFonts w:ascii="Century Gothic" w:hAnsi="Century Gothic"/>
          <w:sz w:val="20"/>
          <w:szCs w:val="20"/>
          <w:lang w:val="fr-CA"/>
        </w:rPr>
        <w:t>ident</w:t>
      </w:r>
      <w:r>
        <w:rPr>
          <w:rFonts w:ascii="Century Gothic" w:hAnsi="Century Gothic"/>
          <w:sz w:val="20"/>
          <w:szCs w:val="20"/>
          <w:lang w:val="fr-CA"/>
        </w:rPr>
        <w:tab/>
        <w:t>Vice-président</w:t>
      </w:r>
    </w:p>
    <w:sectPr w:rsidR="00E83C7E" w:rsidRPr="00311619" w:rsidSect="001D1A94">
      <w:headerReference w:type="default" r:id="rId12"/>
      <w:footerReference w:type="default" r:id="rId13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E3" w:rsidRDefault="00D16DE3" w:rsidP="000340D9">
      <w:pPr>
        <w:spacing w:after="0" w:line="240" w:lineRule="auto"/>
      </w:pPr>
      <w:r>
        <w:separator/>
      </w:r>
    </w:p>
  </w:endnote>
  <w:endnote w:type="continuationSeparator" w:id="0">
    <w:p w:rsidR="00D16DE3" w:rsidRDefault="00D16DE3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:rsidR="00331BD7" w:rsidRPr="00331BD7" w:rsidRDefault="00331BD7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3C6A0D">
          <w:rPr>
            <w:rFonts w:ascii="Century Gothic" w:hAnsi="Century Gothic"/>
            <w:noProof/>
            <w:sz w:val="18"/>
            <w:szCs w:val="18"/>
          </w:rPr>
          <w:t>1</w:t>
        </w:r>
        <w:r w:rsidR="003D63CC"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:rsidR="00331BD7" w:rsidRDefault="0033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E3" w:rsidRDefault="00D16DE3" w:rsidP="000340D9">
      <w:pPr>
        <w:spacing w:after="0" w:line="240" w:lineRule="auto"/>
      </w:pPr>
      <w:r>
        <w:separator/>
      </w:r>
    </w:p>
  </w:footnote>
  <w:footnote w:type="continuationSeparator" w:id="0">
    <w:p w:rsidR="00D16DE3" w:rsidRDefault="00D16DE3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D16DE3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691FF5" w:rsidP="00691FF5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775CD144" wp14:editId="3ED50B06">
                        <wp:extent cx="895350" cy="686283"/>
                        <wp:effectExtent l="0" t="0" r="0" b="0"/>
                        <wp:docPr id="4" name="Picture 4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6B4258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BA33761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C70A04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60D64EB5"/>
    <w:multiLevelType w:val="singleLevel"/>
    <w:tmpl w:val="62BAF70E"/>
    <w:lvl w:ilvl="0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CD1"/>
    <w:rsid w:val="0001118A"/>
    <w:rsid w:val="00022C4C"/>
    <w:rsid w:val="00023C32"/>
    <w:rsid w:val="00026071"/>
    <w:rsid w:val="000340D9"/>
    <w:rsid w:val="00037D3B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0044"/>
    <w:rsid w:val="000A1D2E"/>
    <w:rsid w:val="000A41FF"/>
    <w:rsid w:val="000A7853"/>
    <w:rsid w:val="000B1946"/>
    <w:rsid w:val="000B1B08"/>
    <w:rsid w:val="000B72F5"/>
    <w:rsid w:val="000C1570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2F10"/>
    <w:rsid w:val="00167643"/>
    <w:rsid w:val="001714F1"/>
    <w:rsid w:val="00174761"/>
    <w:rsid w:val="00177341"/>
    <w:rsid w:val="001C4DAB"/>
    <w:rsid w:val="001C77D1"/>
    <w:rsid w:val="001C7D6A"/>
    <w:rsid w:val="001D1A94"/>
    <w:rsid w:val="001D314F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70DCB"/>
    <w:rsid w:val="0027556E"/>
    <w:rsid w:val="002912BF"/>
    <w:rsid w:val="00292784"/>
    <w:rsid w:val="0029606C"/>
    <w:rsid w:val="002A4910"/>
    <w:rsid w:val="002A51B1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033E5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6A0D"/>
    <w:rsid w:val="003C7C56"/>
    <w:rsid w:val="003D19EE"/>
    <w:rsid w:val="003D1FCF"/>
    <w:rsid w:val="003D63CC"/>
    <w:rsid w:val="003D6C04"/>
    <w:rsid w:val="003D7D0A"/>
    <w:rsid w:val="003E589E"/>
    <w:rsid w:val="003E757E"/>
    <w:rsid w:val="003F0633"/>
    <w:rsid w:val="003F72E6"/>
    <w:rsid w:val="00401D24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46F0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E7685"/>
    <w:rsid w:val="004F3CFC"/>
    <w:rsid w:val="004F3D2E"/>
    <w:rsid w:val="00500EBD"/>
    <w:rsid w:val="00502C9E"/>
    <w:rsid w:val="00503F72"/>
    <w:rsid w:val="0050795D"/>
    <w:rsid w:val="005128C7"/>
    <w:rsid w:val="00513A7B"/>
    <w:rsid w:val="00515C03"/>
    <w:rsid w:val="005245CA"/>
    <w:rsid w:val="00524D4C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65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6688"/>
    <w:rsid w:val="006175A4"/>
    <w:rsid w:val="00626123"/>
    <w:rsid w:val="00637FF5"/>
    <w:rsid w:val="00646E00"/>
    <w:rsid w:val="00653192"/>
    <w:rsid w:val="006767BA"/>
    <w:rsid w:val="00682C5C"/>
    <w:rsid w:val="00691FF5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258"/>
    <w:rsid w:val="006B4689"/>
    <w:rsid w:val="006B49BB"/>
    <w:rsid w:val="006B72FE"/>
    <w:rsid w:val="006D0A97"/>
    <w:rsid w:val="006D129D"/>
    <w:rsid w:val="006D316B"/>
    <w:rsid w:val="006E4B0C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238EC"/>
    <w:rsid w:val="007379A7"/>
    <w:rsid w:val="00773A00"/>
    <w:rsid w:val="007778A2"/>
    <w:rsid w:val="007C2A35"/>
    <w:rsid w:val="007C484B"/>
    <w:rsid w:val="007C66F5"/>
    <w:rsid w:val="007C7821"/>
    <w:rsid w:val="007E66D4"/>
    <w:rsid w:val="00803F70"/>
    <w:rsid w:val="00810778"/>
    <w:rsid w:val="0081374A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D7D"/>
    <w:rsid w:val="008B2486"/>
    <w:rsid w:val="008B4489"/>
    <w:rsid w:val="008E38D6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0914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17E8B"/>
    <w:rsid w:val="00A26402"/>
    <w:rsid w:val="00A27401"/>
    <w:rsid w:val="00A421DD"/>
    <w:rsid w:val="00A44AF4"/>
    <w:rsid w:val="00A45949"/>
    <w:rsid w:val="00A460F2"/>
    <w:rsid w:val="00A47387"/>
    <w:rsid w:val="00A563C5"/>
    <w:rsid w:val="00A6038A"/>
    <w:rsid w:val="00A66739"/>
    <w:rsid w:val="00A7093E"/>
    <w:rsid w:val="00A72545"/>
    <w:rsid w:val="00A74459"/>
    <w:rsid w:val="00A84CF4"/>
    <w:rsid w:val="00A862FA"/>
    <w:rsid w:val="00AA02D1"/>
    <w:rsid w:val="00AA2927"/>
    <w:rsid w:val="00AA3925"/>
    <w:rsid w:val="00AA7D76"/>
    <w:rsid w:val="00AB01D4"/>
    <w:rsid w:val="00AB164D"/>
    <w:rsid w:val="00AD4A7B"/>
    <w:rsid w:val="00AD59D0"/>
    <w:rsid w:val="00AE222C"/>
    <w:rsid w:val="00AE2D62"/>
    <w:rsid w:val="00AE3893"/>
    <w:rsid w:val="00AF341E"/>
    <w:rsid w:val="00AF5C7A"/>
    <w:rsid w:val="00B022C7"/>
    <w:rsid w:val="00B0290F"/>
    <w:rsid w:val="00B03A0D"/>
    <w:rsid w:val="00B05EE0"/>
    <w:rsid w:val="00B1468F"/>
    <w:rsid w:val="00B1590E"/>
    <w:rsid w:val="00B236B0"/>
    <w:rsid w:val="00B24602"/>
    <w:rsid w:val="00B277AD"/>
    <w:rsid w:val="00B32F5E"/>
    <w:rsid w:val="00B416B2"/>
    <w:rsid w:val="00B5110B"/>
    <w:rsid w:val="00B60E4E"/>
    <w:rsid w:val="00B63705"/>
    <w:rsid w:val="00B9551F"/>
    <w:rsid w:val="00BA6AD4"/>
    <w:rsid w:val="00BB1749"/>
    <w:rsid w:val="00BB5287"/>
    <w:rsid w:val="00BC6E3B"/>
    <w:rsid w:val="00BD21D7"/>
    <w:rsid w:val="00BE1B4F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5E0C"/>
    <w:rsid w:val="00C354EC"/>
    <w:rsid w:val="00C505FE"/>
    <w:rsid w:val="00C50820"/>
    <w:rsid w:val="00C60132"/>
    <w:rsid w:val="00C62E72"/>
    <w:rsid w:val="00C71D30"/>
    <w:rsid w:val="00C8195D"/>
    <w:rsid w:val="00C97497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16DE3"/>
    <w:rsid w:val="00D232E5"/>
    <w:rsid w:val="00D25CAC"/>
    <w:rsid w:val="00D307DA"/>
    <w:rsid w:val="00D331A4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95E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17524"/>
    <w:rsid w:val="00E20AA7"/>
    <w:rsid w:val="00E2589C"/>
    <w:rsid w:val="00E31167"/>
    <w:rsid w:val="00E33C4E"/>
    <w:rsid w:val="00E53270"/>
    <w:rsid w:val="00E55FE1"/>
    <w:rsid w:val="00E6250A"/>
    <w:rsid w:val="00E661AB"/>
    <w:rsid w:val="00E74C34"/>
    <w:rsid w:val="00E758C6"/>
    <w:rsid w:val="00E83C7E"/>
    <w:rsid w:val="00E83FD9"/>
    <w:rsid w:val="00E85A46"/>
    <w:rsid w:val="00E9340C"/>
    <w:rsid w:val="00EA0696"/>
    <w:rsid w:val="00EB265E"/>
    <w:rsid w:val="00EB470F"/>
    <w:rsid w:val="00EC25C0"/>
    <w:rsid w:val="00ED4AA6"/>
    <w:rsid w:val="00ED76A7"/>
    <w:rsid w:val="00EE4808"/>
    <w:rsid w:val="00EF0B16"/>
    <w:rsid w:val="00EF316A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15AE"/>
    <w:rsid w:val="00FC5A3D"/>
    <w:rsid w:val="00FD69B3"/>
    <w:rsid w:val="00FE48DA"/>
    <w:rsid w:val="00FF32D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44AF4"/>
    <w:pPr>
      <w:keepNext/>
      <w:spacing w:after="0" w:line="240" w:lineRule="auto"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A44AF4"/>
    <w:rPr>
      <w:b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181</cp:revision>
  <cp:lastPrinted>2014-05-18T19:49:00Z</cp:lastPrinted>
  <dcterms:created xsi:type="dcterms:W3CDTF">2010-08-16T23:12:00Z</dcterms:created>
  <dcterms:modified xsi:type="dcterms:W3CDTF">2014-05-22T02:21:00Z</dcterms:modified>
</cp:coreProperties>
</file>